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DC" w:rsidRPr="009C4BDC" w:rsidRDefault="009C4BDC" w:rsidP="009C4BDC">
      <w:pPr>
        <w:pStyle w:val="NormaleWeb"/>
        <w:shd w:val="clear" w:color="auto" w:fill="FFFFFF"/>
        <w:spacing w:before="225" w:beforeAutospacing="0" w:after="225" w:afterAutospacing="0"/>
        <w:jc w:val="center"/>
        <w:rPr>
          <w:rFonts w:ascii="MavenProRegular" w:hAnsi="MavenProRegular"/>
          <w:color w:val="444444"/>
          <w:sz w:val="32"/>
          <w:szCs w:val="32"/>
        </w:rPr>
      </w:pPr>
      <w:r w:rsidRPr="009C4BDC">
        <w:rPr>
          <w:rFonts w:ascii="Arial" w:hAnsi="Arial" w:cs="Arial"/>
          <w:color w:val="000000"/>
          <w:sz w:val="32"/>
          <w:szCs w:val="32"/>
        </w:rPr>
        <w:t>Relazione</w:t>
      </w:r>
      <w:r>
        <w:rPr>
          <w:rFonts w:ascii="Arial" w:hAnsi="Arial" w:cs="Arial"/>
          <w:color w:val="000000"/>
          <w:sz w:val="32"/>
          <w:szCs w:val="32"/>
        </w:rPr>
        <w:t xml:space="preserve"> Progetto Intercultura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2017</w:t>
      </w:r>
      <w:r w:rsidRPr="009C4BDC">
        <w:rPr>
          <w:rFonts w:ascii="Arial" w:hAnsi="Arial" w:cs="Arial"/>
          <w:color w:val="000000"/>
          <w:sz w:val="32"/>
          <w:szCs w:val="32"/>
        </w:rPr>
        <w:t>-201</w:t>
      </w:r>
      <w:r>
        <w:rPr>
          <w:rFonts w:ascii="Arial" w:hAnsi="Arial" w:cs="Arial"/>
          <w:color w:val="000000"/>
          <w:sz w:val="32"/>
          <w:szCs w:val="32"/>
        </w:rPr>
        <w:t>8</w:t>
      </w:r>
      <w:r w:rsidRPr="009C4BDC">
        <w:rPr>
          <w:rFonts w:ascii="Arial" w:hAnsi="Arial" w:cs="Arial"/>
          <w:color w:val="000000"/>
          <w:sz w:val="32"/>
          <w:szCs w:val="32"/>
        </w:rPr>
        <w:t xml:space="preserve"> (ex art. 9)</w:t>
      </w:r>
    </w:p>
    <w:p w:rsidR="00721074" w:rsidRDefault="009C4BDC" w:rsidP="00721074">
      <w:pPr>
        <w:pStyle w:val="NormaleWeb"/>
        <w:shd w:val="clear" w:color="auto" w:fill="FFFFFF"/>
        <w:spacing w:before="225" w:after="225"/>
        <w:rPr>
          <w:rFonts w:ascii="MavenProRegular" w:hAnsi="MavenProRegular"/>
          <w:color w:val="444444"/>
          <w:sz w:val="32"/>
          <w:szCs w:val="32"/>
        </w:rPr>
      </w:pPr>
      <w:r w:rsidRPr="009C4BDC">
        <w:rPr>
          <w:rFonts w:ascii="MavenProRegular" w:hAnsi="MavenProRegular"/>
          <w:color w:val="444444"/>
          <w:sz w:val="32"/>
          <w:szCs w:val="32"/>
        </w:rPr>
        <w:t> L’Istituto Comprensivo Perugia 4, neo costituito,( di seguito ICPG4), è una istituzione scolastica della città di Perugia, tra le più grandi del territorio umbro, con 1150  studenti tra scuole dell’infanzia (n. 4), primaria (n.2) e secondaria di 1° grado (n.1); 106 insegnanti e 7 impiegati dello staff di segreteria. Nell’Istituto sono iscritti e frequentano 268 alunni stranieri provenienti da paesi diversi e 2 alunni ROM per una percentuale di 25%</w:t>
      </w:r>
      <w:r w:rsidR="00721074" w:rsidRPr="00721074">
        <w:rPr>
          <w:rFonts w:ascii="MavenProRegular" w:hAnsi="MavenProRegular"/>
          <w:color w:val="444444"/>
          <w:sz w:val="32"/>
          <w:szCs w:val="32"/>
        </w:rPr>
        <w:t>. Dallo scorso anno scolastico, a causa dei nuovi eventi sismici, il plesso della Scuola Secondaria di I° è stato considerato inagibile per cui si è provveduto, in modo provvisorio, ad ospitare le diverse classi presso i due plessi della scuola Primaria con conseguente diminuzione di spazi adibiti a laboratori. La popolazione scolastica dell’Istituto è costituita, in larga parte, da alunni che risiedono nelle zone di riferimento di ciascuna scuola sebbene si contino numerose presenze di alunni residenti fuori zona, i cui genitori svolgono attività lavorative in città o scelgono di far frequentare loro, le scuole che compongono l’istituzione; in ogni classe si rileva una presenza equilibrata di alunni “cittadini non italiani” (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cni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), spesso di seconda generazione. Durante questo anno scolastico diversi sono stati gli inserimenti di alunni non 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italianofoni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 di PRIMA GENERAZIONE. Gli alunni delle scuole primarie provengono prevalentemente dalle scuole dell’infanzia dell’istituto e, in gran parte, frequentano il plesso della scuola secondaria di 1° grado.  Ciò favorisce l'assunzione di una logica progettuale unitaria e il realizzarsi di uno stretto raccordo tra i tre gradi di scuola in termini di esperienze, acquisizioni, atmosfera relazionale e condizioni di 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apprendimento.Ritenendo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 che nella prevenzione all’abbandono scolastico e al disagio giovanile svolga un ruolo determinante l’attenzione e la predisposizione di percorsi volti all’inclusione e alla relazionalità, l’Istituzione favorisce tutte le progettualità che privilegiano le attività laboratoriali, la creatività, 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l’intercultura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, il rispetto e la cooperazione tra pari. L’Istituto, anche in virtù del riconoscimento anche di UNICEF e UNESCO, ha privilegiato la formazione docente finalizzata allo studio e alla consapevolezza della necessità di individuare strategie didattiche e metodologiche volte alla promozione di competenze globali. In tal senso già lo scorso anno il collegio ha operato con formatori e autoformazione interna sullo studio delle 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uda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 per le competenze globali e in questo anno scolastico il piano delle attività di istituto prevede un corso con gli esperti del Centro </w:t>
      </w:r>
      <w:proofErr w:type="spellStart"/>
      <w:r w:rsidR="00721074" w:rsidRPr="00721074">
        <w:rPr>
          <w:rFonts w:ascii="MavenProRegular" w:hAnsi="MavenProRegular"/>
          <w:color w:val="444444"/>
          <w:sz w:val="32"/>
          <w:szCs w:val="32"/>
        </w:rPr>
        <w:t>Panta</w:t>
      </w:r>
      <w:proofErr w:type="spellEnd"/>
      <w:r w:rsidR="00721074" w:rsidRPr="00721074">
        <w:rPr>
          <w:rFonts w:ascii="MavenProRegular" w:hAnsi="MavenProRegular"/>
          <w:color w:val="444444"/>
          <w:sz w:val="32"/>
          <w:szCs w:val="32"/>
        </w:rPr>
        <w:t xml:space="preserve"> </w:t>
      </w:r>
      <w:r w:rsidR="00721074" w:rsidRPr="00721074">
        <w:rPr>
          <w:rFonts w:ascii="MavenProRegular" w:hAnsi="MavenProRegular"/>
          <w:color w:val="444444"/>
          <w:sz w:val="32"/>
          <w:szCs w:val="32"/>
        </w:rPr>
        <w:lastRenderedPageBreak/>
        <w:t xml:space="preserve">Rei sulle dinamiche relazionali di gruppo (luogo dove è previsto il soggiorno come contesto di realtà del modulo II) e quattro corsi sulle competenze disciplinari e trasversali di lingua italiana, storia, matematica e scienze in collaborazione con il C.I.D.I. (Centro di Iniziativa Democratica degli Insegnanti) a cui partecipano numerosi docenti della scuola. I costi sono </w:t>
      </w:r>
      <w:r w:rsidR="00721074">
        <w:rPr>
          <w:rFonts w:ascii="MavenProRegular" w:hAnsi="MavenProRegular"/>
          <w:color w:val="444444"/>
          <w:sz w:val="32"/>
          <w:szCs w:val="32"/>
        </w:rPr>
        <w:t xml:space="preserve">stati </w:t>
      </w:r>
      <w:r w:rsidR="00721074" w:rsidRPr="00721074">
        <w:rPr>
          <w:rFonts w:ascii="MavenProRegular" w:hAnsi="MavenProRegular"/>
          <w:color w:val="444444"/>
          <w:sz w:val="32"/>
          <w:szCs w:val="32"/>
        </w:rPr>
        <w:t>a carico dell’istituto.</w:t>
      </w:r>
    </w:p>
    <w:p w:rsidR="00721074" w:rsidRPr="00721074" w:rsidRDefault="00721074" w:rsidP="00721074">
      <w:pPr>
        <w:pStyle w:val="NormaleWeb"/>
        <w:shd w:val="clear" w:color="auto" w:fill="FFFFFF"/>
        <w:spacing w:before="225" w:after="225"/>
        <w:rPr>
          <w:rFonts w:ascii="MavenProRegular" w:hAnsi="MavenProRegular"/>
          <w:color w:val="444444"/>
          <w:sz w:val="32"/>
          <w:szCs w:val="32"/>
        </w:rPr>
      </w:pPr>
      <w:r>
        <w:rPr>
          <w:rFonts w:ascii="MavenProRegular" w:hAnsi="MavenProRegular"/>
          <w:color w:val="444444"/>
          <w:sz w:val="32"/>
          <w:szCs w:val="32"/>
        </w:rPr>
        <w:t>Proprio per tale situazione si è realizzato un progetto che da un lato ha previsto  laboratori linguistici di potenziamento della lingua italiana in L2 e dall’altro laborat</w:t>
      </w:r>
      <w:r w:rsidR="00F82550">
        <w:rPr>
          <w:rFonts w:ascii="MavenProRegular" w:hAnsi="MavenProRegular"/>
          <w:color w:val="444444"/>
          <w:sz w:val="32"/>
          <w:szCs w:val="32"/>
        </w:rPr>
        <w:t xml:space="preserve">ori di cittadinanza globale </w:t>
      </w:r>
      <w:r>
        <w:rPr>
          <w:rFonts w:ascii="MavenProRegular" w:hAnsi="MavenProRegular"/>
          <w:color w:val="444444"/>
          <w:sz w:val="32"/>
          <w:szCs w:val="32"/>
        </w:rPr>
        <w:t xml:space="preserve">attraverso la conoscenza di culture altre. </w:t>
      </w:r>
      <w:r w:rsidR="00C662AD">
        <w:rPr>
          <w:rFonts w:ascii="MavenProRegular" w:hAnsi="MavenProRegular"/>
          <w:color w:val="444444"/>
          <w:sz w:val="32"/>
          <w:szCs w:val="32"/>
        </w:rPr>
        <w:t>Per quest’ultima attività si è ritenuto opportuno affiancare i docenti con un operatore di un’associazione del territorio proprio per rendere tale attività maggiormente pregnante nel tessuto sociale.</w:t>
      </w:r>
    </w:p>
    <w:p w:rsidR="009C4BDC" w:rsidRPr="009C4BDC" w:rsidRDefault="009C4BDC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color w:val="444444"/>
          <w:sz w:val="32"/>
          <w:szCs w:val="32"/>
        </w:rPr>
      </w:pPr>
      <w:r w:rsidRPr="009C4BDC">
        <w:rPr>
          <w:rFonts w:ascii="MavenProRegular" w:hAnsi="MavenProRegular"/>
          <w:b/>
          <w:color w:val="444444"/>
          <w:sz w:val="32"/>
          <w:szCs w:val="32"/>
        </w:rPr>
        <w:t xml:space="preserve">Data inizio: </w:t>
      </w:r>
      <w:r w:rsidRPr="009C4BDC">
        <w:rPr>
          <w:rFonts w:ascii="MavenProRegular" w:hAnsi="MavenProRegular"/>
          <w:color w:val="444444"/>
          <w:sz w:val="32"/>
          <w:szCs w:val="32"/>
        </w:rPr>
        <w:t>gennaio 2017</w:t>
      </w:r>
    </w:p>
    <w:p w:rsidR="009C4BDC" w:rsidRPr="009C4BDC" w:rsidRDefault="009C4BDC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color w:val="444444"/>
          <w:sz w:val="32"/>
          <w:szCs w:val="32"/>
        </w:rPr>
      </w:pPr>
      <w:r w:rsidRPr="009C4BDC">
        <w:rPr>
          <w:rFonts w:ascii="MavenProRegular" w:hAnsi="MavenProRegular"/>
          <w:b/>
          <w:color w:val="444444"/>
          <w:sz w:val="32"/>
          <w:szCs w:val="32"/>
        </w:rPr>
        <w:t xml:space="preserve">data conclusione: </w:t>
      </w:r>
      <w:r w:rsidR="00F82550">
        <w:rPr>
          <w:rFonts w:ascii="MavenProRegular" w:hAnsi="MavenProRegular"/>
          <w:color w:val="444444"/>
          <w:sz w:val="32"/>
          <w:szCs w:val="32"/>
        </w:rPr>
        <w:t>giugno</w:t>
      </w:r>
      <w:r w:rsidRPr="009C4BDC">
        <w:rPr>
          <w:rFonts w:ascii="MavenProRegular" w:hAnsi="MavenProRegular"/>
          <w:color w:val="444444"/>
          <w:sz w:val="32"/>
          <w:szCs w:val="32"/>
        </w:rPr>
        <w:t xml:space="preserve"> 2018</w:t>
      </w:r>
    </w:p>
    <w:p w:rsidR="009C4BDC" w:rsidRPr="009C4BDC" w:rsidRDefault="009C4BDC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b/>
          <w:color w:val="444444"/>
          <w:sz w:val="32"/>
          <w:szCs w:val="32"/>
        </w:rPr>
      </w:pPr>
      <w:r w:rsidRPr="009C4BDC">
        <w:rPr>
          <w:rFonts w:ascii="MavenProRegular" w:hAnsi="MavenProRegular"/>
          <w:color w:val="444444"/>
          <w:sz w:val="32"/>
          <w:szCs w:val="32"/>
        </w:rPr>
        <w:t xml:space="preserve"> </w:t>
      </w:r>
      <w:r w:rsidRPr="009C4BDC">
        <w:rPr>
          <w:rFonts w:ascii="MavenProRegular" w:hAnsi="MavenProRegular"/>
          <w:b/>
          <w:color w:val="444444"/>
          <w:sz w:val="32"/>
          <w:szCs w:val="32"/>
        </w:rPr>
        <w:t>ATTIVITA’  SVOLTA</w:t>
      </w:r>
      <w:r w:rsidR="00F82550">
        <w:rPr>
          <w:rFonts w:ascii="MavenProRegular" w:hAnsi="MavenProRegular"/>
          <w:b/>
          <w:color w:val="444444"/>
          <w:sz w:val="32"/>
          <w:szCs w:val="32"/>
        </w:rPr>
        <w:t xml:space="preserve"> “POTENZIAMENTO LINGUA ITALIANA IN L2”</w:t>
      </w:r>
    </w:p>
    <w:p w:rsidR="009C4BDC" w:rsidRPr="009C4BDC" w:rsidRDefault="009C4BDC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color w:val="444444"/>
          <w:sz w:val="32"/>
          <w:szCs w:val="32"/>
        </w:rPr>
      </w:pPr>
      <w:r w:rsidRPr="009C4BDC">
        <w:rPr>
          <w:rFonts w:ascii="MavenProRegular" w:hAnsi="MavenProRegular"/>
          <w:color w:val="444444"/>
          <w:sz w:val="32"/>
          <w:szCs w:val="32"/>
        </w:rPr>
        <w:t>Per rendere proficui i diversi interventi si è proceduto secondo le suddette fasi: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1"/>
        <w:gridCol w:w="2358"/>
        <w:gridCol w:w="1944"/>
        <w:gridCol w:w="1927"/>
        <w:gridCol w:w="1504"/>
      </w:tblGrid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FASI</w:t>
            </w: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ATTIVITA’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DOCENTI COINVOLTI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ORE IMPIEGATE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COSTO ORARIO LORDO STATO</w:t>
            </w:r>
          </w:p>
        </w:tc>
      </w:tr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Individuazione alunni con necessità di supporto linguistico</w:t>
            </w: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Sono state prese in considerazione le valutazioni del I quadrimestre degli alunni neoarrivati e /o residenti in Italia da meno di 5 anni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Funzione Strumentale Intercultura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5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Previsto dal compenso di funzione</w:t>
            </w:r>
          </w:p>
        </w:tc>
      </w:tr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Suddivisione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alunni in gruppi</w:t>
            </w: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 xml:space="preserve">Gli alunni con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 xml:space="preserve">bisogno di supporto sono stati suddivisi in </w:t>
            </w:r>
            <w:r w:rsidR="00F82550">
              <w:rPr>
                <w:rFonts w:ascii="MavenProRegular" w:hAnsi="MavenProRegular"/>
                <w:color w:val="444444"/>
                <w:sz w:val="32"/>
                <w:szCs w:val="32"/>
              </w:rPr>
              <w:t>due gruppi raggruppando il I ciclo e il II con la scuola secondaria di I grado in un’ottica di continuità.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 xml:space="preserve">Funzione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strumentale Intercultura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5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Previsto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dal compenso di funzione</w:t>
            </w:r>
          </w:p>
        </w:tc>
      </w:tr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Individuazione docenti per attività di supporto linguistico in orario aggiuntivo</w:t>
            </w: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E’ stata inviata comunicazione sull’attivazione di laboratori di italiano come L2 a tutto il corpo docente. I docenti sono stati individuati tenendo conto della disponibilità a svolgere tale incarico e </w:t>
            </w:r>
            <w:r w:rsidR="00F82550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soprattutto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sulla base della  formazi</w:t>
            </w:r>
            <w:r w:rsidR="00F82550">
              <w:rPr>
                <w:rFonts w:ascii="MavenProRegular" w:hAnsi="MavenProRegular"/>
                <w:color w:val="444444"/>
                <w:sz w:val="32"/>
                <w:szCs w:val="32"/>
              </w:rPr>
              <w:t>one .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In tal</w:t>
            </w:r>
            <w:r w:rsidR="00F82550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e fase sono stati individuati 2 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docenti.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Funzione strumentale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2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Previsto dal compenso di funzione</w:t>
            </w:r>
          </w:p>
        </w:tc>
      </w:tr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Laboratorio linguistico</w:t>
            </w:r>
          </w:p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I diversi docenti hanno svolto attività inerenti alla prima alfabetizzazione, potenziamento della </w:t>
            </w:r>
            <w:proofErr w:type="spellStart"/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lettoscrittura</w:t>
            </w:r>
            <w:proofErr w:type="spellEnd"/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e comprensione di semplici testi in lingua italiana come L2 attivando metodologie partecipative e soprattutto nella scuola primaria avvalendosi del lingua musicale e attività ludiche motorie per incentivare la conoscenza dei termini. Le attività sono state svolte in orario extracurricolare per i docenti ma scolastico per gli alunni data la difficoltà dei minori di rientrare a scuola nel pomeriggio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9C4BDC" w:rsidRPr="009C4BDC" w:rsidRDefault="00F82550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Due </w:t>
            </w:r>
            <w:r w:rsidR="009C4BDC"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docenti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9C4BDC" w:rsidRPr="009C4BDC" w:rsidRDefault="00F82550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15</w:t>
            </w:r>
            <w:r w:rsidR="009C4BDC"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x docent</w:t>
            </w:r>
            <w:r>
              <w:rPr>
                <w:rFonts w:ascii="MavenProRegular" w:hAnsi="MavenProRegular"/>
                <w:color w:val="444444"/>
                <w:sz w:val="32"/>
                <w:szCs w:val="32"/>
              </w:rPr>
              <w:t>e = 30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35 euro</w:t>
            </w:r>
          </w:p>
        </w:tc>
      </w:tr>
      <w:tr w:rsidR="009C4BDC" w:rsidRPr="009C4BDC" w:rsidTr="009D30E1"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Valutazione del percorso</w:t>
            </w:r>
          </w:p>
        </w:tc>
        <w:tc>
          <w:tcPr>
            <w:tcW w:w="1955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Al termine del percorso sono stati valutati i risultati attraverso le verifiche di fine quadrimestre.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Tutti i docenti delle classi in cui erano inseriti gli alunni facenti parte del laboratorio</w:t>
            </w: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956" w:type="dxa"/>
          </w:tcPr>
          <w:p w:rsidR="009C4BDC" w:rsidRPr="009C4BDC" w:rsidRDefault="009C4BDC" w:rsidP="009D30E1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</w:tr>
    </w:tbl>
    <w:p w:rsidR="009C4BDC" w:rsidRDefault="009C4BDC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b/>
          <w:color w:val="444444"/>
          <w:sz w:val="32"/>
          <w:szCs w:val="32"/>
        </w:rPr>
      </w:pPr>
      <w:r w:rsidRPr="009C4BDC">
        <w:rPr>
          <w:rFonts w:ascii="MavenProRegular" w:hAnsi="MavenProRegular"/>
          <w:b/>
          <w:color w:val="444444"/>
          <w:sz w:val="32"/>
          <w:szCs w:val="32"/>
        </w:rPr>
        <w:lastRenderedPageBreak/>
        <w:t>Costo compless</w:t>
      </w:r>
      <w:r w:rsidR="00954EFA">
        <w:rPr>
          <w:rFonts w:ascii="MavenProRegular" w:hAnsi="MavenProRegular"/>
          <w:b/>
          <w:color w:val="444444"/>
          <w:sz w:val="32"/>
          <w:szCs w:val="32"/>
        </w:rPr>
        <w:t xml:space="preserve">ivo de modulo del progetto </w:t>
      </w:r>
      <w:r w:rsidR="00F82550">
        <w:rPr>
          <w:rFonts w:ascii="MavenProRegular" w:hAnsi="MavenProRegular"/>
          <w:b/>
          <w:color w:val="444444"/>
          <w:sz w:val="32"/>
          <w:szCs w:val="32"/>
        </w:rPr>
        <w:t>liquidato: 1050</w:t>
      </w:r>
      <w:r w:rsidRPr="009C4BDC">
        <w:rPr>
          <w:rFonts w:ascii="MavenProRegular" w:hAnsi="MavenProRegular"/>
          <w:b/>
          <w:color w:val="444444"/>
          <w:sz w:val="32"/>
          <w:szCs w:val="32"/>
        </w:rPr>
        <w:t xml:space="preserve"> euro</w:t>
      </w:r>
    </w:p>
    <w:p w:rsidR="00F82550" w:rsidRDefault="00F82550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b/>
          <w:color w:val="444444"/>
          <w:sz w:val="32"/>
          <w:szCs w:val="32"/>
        </w:rPr>
      </w:pPr>
    </w:p>
    <w:p w:rsidR="00F82550" w:rsidRDefault="00F82550" w:rsidP="009C4BDC">
      <w:pPr>
        <w:pStyle w:val="NormaleWeb"/>
        <w:shd w:val="clear" w:color="auto" w:fill="FFFFFF"/>
        <w:spacing w:before="225" w:after="225"/>
        <w:rPr>
          <w:rFonts w:ascii="MavenProRegular" w:hAnsi="MavenProRegular"/>
          <w:b/>
          <w:color w:val="444444"/>
          <w:sz w:val="32"/>
          <w:szCs w:val="32"/>
        </w:rPr>
      </w:pPr>
      <w:r>
        <w:rPr>
          <w:rFonts w:ascii="MavenProRegular" w:hAnsi="MavenProRegular"/>
          <w:b/>
          <w:color w:val="444444"/>
          <w:sz w:val="32"/>
          <w:szCs w:val="32"/>
        </w:rPr>
        <w:t xml:space="preserve">ATTIVITA’ </w:t>
      </w:r>
      <w:r w:rsidR="007B28C6">
        <w:rPr>
          <w:rFonts w:ascii="MavenProRegular" w:hAnsi="MavenProRegular"/>
          <w:b/>
          <w:color w:val="444444"/>
          <w:sz w:val="32"/>
          <w:szCs w:val="32"/>
        </w:rPr>
        <w:t>SVOLTA: I giochi dal mondo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6"/>
        <w:gridCol w:w="2249"/>
        <w:gridCol w:w="2249"/>
        <w:gridCol w:w="1807"/>
        <w:gridCol w:w="1413"/>
      </w:tblGrid>
      <w:tr w:rsidR="007B28C6" w:rsidRPr="009C4BDC" w:rsidTr="00C662AD">
        <w:tc>
          <w:tcPr>
            <w:tcW w:w="2121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FASI</w:t>
            </w:r>
          </w:p>
        </w:tc>
        <w:tc>
          <w:tcPr>
            <w:tcW w:w="2358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ATTIVITA’</w:t>
            </w:r>
          </w:p>
        </w:tc>
        <w:tc>
          <w:tcPr>
            <w:tcW w:w="194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DOCENTI COINVOLTI</w:t>
            </w:r>
          </w:p>
        </w:tc>
        <w:tc>
          <w:tcPr>
            <w:tcW w:w="1927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ORE IMPIEGATE</w:t>
            </w: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COSTO ORARIO LORDO STATO</w:t>
            </w:r>
          </w:p>
        </w:tc>
      </w:tr>
      <w:tr w:rsidR="007B28C6" w:rsidRPr="009C4BDC" w:rsidTr="00C662AD">
        <w:tc>
          <w:tcPr>
            <w:tcW w:w="2121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Incontro </w:t>
            </w:r>
            <w:r w:rsidR="00C662AD">
              <w:rPr>
                <w:rFonts w:ascii="MavenProRegular" w:hAnsi="MavenProRegular"/>
                <w:color w:val="444444"/>
                <w:sz w:val="32"/>
                <w:szCs w:val="32"/>
              </w:rPr>
              <w:t>con l’associazione Tamat</w:t>
            </w:r>
          </w:p>
        </w:tc>
        <w:tc>
          <w:tcPr>
            <w:tcW w:w="2358" w:type="dxa"/>
          </w:tcPr>
          <w:p w:rsidR="00F82550" w:rsidRPr="009C4BDC" w:rsidRDefault="00C662AD" w:rsidP="00C662AD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Sono state prese contatti con l’associazione per prevedere interventi interculturali attraverso i giochi di diversi Paesi del Mondo. </w:t>
            </w:r>
          </w:p>
        </w:tc>
        <w:tc>
          <w:tcPr>
            <w:tcW w:w="194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Funzione Strumentale Intercultura</w:t>
            </w:r>
          </w:p>
        </w:tc>
        <w:tc>
          <w:tcPr>
            <w:tcW w:w="1927" w:type="dxa"/>
          </w:tcPr>
          <w:p w:rsidR="00F82550" w:rsidRPr="009C4BDC" w:rsidRDefault="00C662AD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2</w:t>
            </w: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Previsto dal compenso di funzione</w:t>
            </w:r>
          </w:p>
        </w:tc>
      </w:tr>
      <w:tr w:rsidR="007B28C6" w:rsidRPr="009C4BDC" w:rsidTr="00C662AD">
        <w:tc>
          <w:tcPr>
            <w:tcW w:w="2121" w:type="dxa"/>
          </w:tcPr>
          <w:p w:rsidR="00F82550" w:rsidRPr="009C4BDC" w:rsidRDefault="00C662AD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Presentazione progetto </w:t>
            </w:r>
          </w:p>
        </w:tc>
        <w:tc>
          <w:tcPr>
            <w:tcW w:w="2358" w:type="dxa"/>
          </w:tcPr>
          <w:p w:rsidR="00F82550" w:rsidRPr="009C4BDC" w:rsidRDefault="00C662AD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Il progetto strutturato durante l’incontro è stato poi presentato in collegio in modo da rendere partecipi tutti i docenti dell’ICPg4</w:t>
            </w:r>
          </w:p>
        </w:tc>
        <w:tc>
          <w:tcPr>
            <w:tcW w:w="194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Funzione strumentale Intercultura</w:t>
            </w:r>
          </w:p>
        </w:tc>
        <w:tc>
          <w:tcPr>
            <w:tcW w:w="1927" w:type="dxa"/>
          </w:tcPr>
          <w:p w:rsidR="00F82550" w:rsidRPr="009C4BDC" w:rsidRDefault="00C662AD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1</w:t>
            </w: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Previsto dal compenso di funzione</w:t>
            </w:r>
          </w:p>
        </w:tc>
      </w:tr>
      <w:tr w:rsidR="007B28C6" w:rsidRPr="009C4BDC" w:rsidTr="00C662AD">
        <w:tc>
          <w:tcPr>
            <w:tcW w:w="2121" w:type="dxa"/>
          </w:tcPr>
          <w:p w:rsidR="00F82550" w:rsidRPr="009C4BDC" w:rsidRDefault="003E5BBB" w:rsidP="00C662AD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Coinvolgimento famiglie</w:t>
            </w:r>
          </w:p>
        </w:tc>
        <w:tc>
          <w:tcPr>
            <w:tcW w:w="2358" w:type="dxa"/>
          </w:tcPr>
          <w:p w:rsidR="00F82550" w:rsidRPr="009C4BDC" w:rsidRDefault="00F82550" w:rsidP="003E5BBB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E’ stata inviata comunicazione </w:t>
            </w:r>
            <w:r w:rsidR="00C662AD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a tutti i genitori della scuola primaria </w:t>
            </w:r>
            <w:r w:rsidR="00C662AD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sull’attivazione dei l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aboratori</w:t>
            </w:r>
            <w:r w:rsidR="00C662AD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programmati scegliendo come periodo la seconda settimana di giugno</w:t>
            </w: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.</w:t>
            </w:r>
            <w:r w:rsidR="00C662AD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</w:t>
            </w:r>
            <w:r w:rsidR="003E5BBB">
              <w:rPr>
                <w:rFonts w:ascii="MavenProRegular" w:hAnsi="MavenProRegular"/>
                <w:color w:val="444444"/>
                <w:sz w:val="32"/>
                <w:szCs w:val="32"/>
              </w:rPr>
              <w:t>Per le iscrizioni si è data la precedenza alle famiglie extracomunitarie del territorio in rispetto della percentuale tra sesso e l’essere autoctoni.</w:t>
            </w:r>
          </w:p>
        </w:tc>
        <w:tc>
          <w:tcPr>
            <w:tcW w:w="194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Funzione strumentale</w:t>
            </w:r>
          </w:p>
        </w:tc>
        <w:tc>
          <w:tcPr>
            <w:tcW w:w="1927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2</w:t>
            </w: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Previsto dal compenso di funzione</w:t>
            </w:r>
          </w:p>
        </w:tc>
      </w:tr>
      <w:tr w:rsidR="003E5BBB" w:rsidRPr="009C4BDC" w:rsidTr="00C662AD">
        <w:tc>
          <w:tcPr>
            <w:tcW w:w="2121" w:type="dxa"/>
          </w:tcPr>
          <w:p w:rsidR="003E5BBB" w:rsidRDefault="003E5BBB" w:rsidP="00C662AD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Individuazione docenti tutor per la realizzazione dei laboratori</w:t>
            </w:r>
          </w:p>
        </w:tc>
        <w:tc>
          <w:tcPr>
            <w:tcW w:w="2358" w:type="dxa"/>
          </w:tcPr>
          <w:p w:rsidR="003E5BBB" w:rsidRPr="009C4BDC" w:rsidRDefault="003E5BBB" w:rsidP="003E5BBB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Date le iscrizioni superiori a 40 si è deciso di formare quattro gruppi e pertanto si è inviata una comunicazione ai docenti di ogni ordine e grado per partecipare alla selezione per l’attività. Sono stati scelti quattro docenti in base alla disponibilità data e alla </w:t>
            </w:r>
            <w:r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 xml:space="preserve">formazione . Ogni docente è stato supportato da un volontario dell’associazione Tamat </w:t>
            </w:r>
          </w:p>
        </w:tc>
        <w:tc>
          <w:tcPr>
            <w:tcW w:w="1944" w:type="dxa"/>
          </w:tcPr>
          <w:p w:rsidR="003E5BBB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927" w:type="dxa"/>
          </w:tcPr>
          <w:p w:rsidR="003E5BBB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504" w:type="dxa"/>
          </w:tcPr>
          <w:p w:rsidR="003E5BBB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</w:tr>
      <w:tr w:rsidR="007B28C6" w:rsidRPr="009C4BDC" w:rsidTr="00C662AD">
        <w:tc>
          <w:tcPr>
            <w:tcW w:w="2121" w:type="dxa"/>
          </w:tcPr>
          <w:p w:rsidR="00F82550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Laboratorio “dalle Periferie al Mondo”</w:t>
            </w:r>
          </w:p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2358" w:type="dxa"/>
          </w:tcPr>
          <w:p w:rsidR="00F82550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I bambini si sono confrontati con giochi vecchi e nuovi di diverse parti del mondo cogliendo gli aspetti in comune con la nostra cultura e quelli diversi cercando di coglierne le motivazioni. </w:t>
            </w:r>
            <w:r w:rsidR="007B28C6">
              <w:rPr>
                <w:rFonts w:ascii="MavenProRegular" w:hAnsi="MavenProRegular"/>
                <w:color w:val="444444"/>
                <w:sz w:val="32"/>
                <w:szCs w:val="32"/>
              </w:rPr>
              <w:t>i bambini hanno costruito i giochi e li hanno sperimentati dopo aver fatto la conoscenza delle caratteristiche del Paese da cui provenivano. I</w:t>
            </w: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laboratori hanno avuto la durata di una settimana per 5 </w:t>
            </w:r>
            <w:r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ore al giorno.</w:t>
            </w:r>
          </w:p>
        </w:tc>
        <w:tc>
          <w:tcPr>
            <w:tcW w:w="194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F82550" w:rsidRPr="009C4BDC" w:rsidRDefault="003E5BBB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Quattro </w:t>
            </w:r>
            <w:r w:rsidR="00F82550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</w:t>
            </w:r>
            <w:r w:rsidR="00F82550"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docenti</w:t>
            </w:r>
          </w:p>
        </w:tc>
        <w:tc>
          <w:tcPr>
            <w:tcW w:w="1927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F82550" w:rsidRDefault="007B28C6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5x5=25 h per docente</w:t>
            </w:r>
          </w:p>
          <w:p w:rsidR="007B28C6" w:rsidRDefault="007B28C6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25x4= 100</w:t>
            </w:r>
          </w:p>
          <w:p w:rsidR="007B28C6" w:rsidRPr="009C4BDC" w:rsidRDefault="007B28C6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  <w:p w:rsidR="00F82550" w:rsidRDefault="007B28C6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>
              <w:rPr>
                <w:rFonts w:ascii="MavenProRegular" w:hAnsi="MavenProRegular"/>
                <w:color w:val="444444"/>
                <w:sz w:val="32"/>
                <w:szCs w:val="32"/>
              </w:rPr>
              <w:t>36 euro</w:t>
            </w:r>
          </w:p>
          <w:p w:rsidR="007B28C6" w:rsidRPr="009C4BDC" w:rsidRDefault="007B28C6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</w:tr>
      <w:tr w:rsidR="007B28C6" w:rsidRPr="009C4BDC" w:rsidTr="00C662AD">
        <w:tc>
          <w:tcPr>
            <w:tcW w:w="2121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lastRenderedPageBreak/>
              <w:t>Valutazione del percorso</w:t>
            </w:r>
          </w:p>
        </w:tc>
        <w:tc>
          <w:tcPr>
            <w:tcW w:w="2358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Al termine del percorso </w:t>
            </w:r>
            <w:r w:rsidR="003E5BBB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si è programmata una giornata in cui la scuola si apriva al territorio </w:t>
            </w:r>
            <w:r w:rsidR="007B28C6">
              <w:rPr>
                <w:rFonts w:ascii="MavenProRegular" w:hAnsi="MavenProRegular"/>
                <w:color w:val="444444"/>
                <w:sz w:val="32"/>
                <w:szCs w:val="32"/>
              </w:rPr>
              <w:t>organizzando percorsi ludici aperti a genitori e abitanti del territorio. L’alta percentuale di presenze ha messo in evidenza l’ottimo grado di gradimento dell’attività sia alle famiglie che al territorio.</w:t>
            </w:r>
          </w:p>
        </w:tc>
        <w:tc>
          <w:tcPr>
            <w:tcW w:w="1944" w:type="dxa"/>
          </w:tcPr>
          <w:p w:rsidR="00F82550" w:rsidRPr="009C4BDC" w:rsidRDefault="00F82550" w:rsidP="007B28C6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  <w:r w:rsidRPr="009C4BDC">
              <w:rPr>
                <w:rFonts w:ascii="MavenProRegular" w:hAnsi="MavenProRegular"/>
                <w:color w:val="444444"/>
                <w:sz w:val="32"/>
                <w:szCs w:val="32"/>
              </w:rPr>
              <w:t>Tutti i docenti</w:t>
            </w:r>
            <w:r w:rsidR="007B28C6">
              <w:rPr>
                <w:rFonts w:ascii="MavenProRegular" w:hAnsi="MavenProRegular"/>
                <w:color w:val="444444"/>
                <w:sz w:val="32"/>
                <w:szCs w:val="32"/>
              </w:rPr>
              <w:t xml:space="preserve"> partecipanti al progetto , gli operatori dell’associazione Tamat coinvolti e famiglie e abitanti del quartiere.</w:t>
            </w:r>
          </w:p>
        </w:tc>
        <w:tc>
          <w:tcPr>
            <w:tcW w:w="1927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  <w:tc>
          <w:tcPr>
            <w:tcW w:w="1504" w:type="dxa"/>
          </w:tcPr>
          <w:p w:rsidR="00F82550" w:rsidRPr="009C4BDC" w:rsidRDefault="00F82550" w:rsidP="00B05B99">
            <w:pPr>
              <w:pStyle w:val="NormaleWeb"/>
              <w:spacing w:before="225" w:after="225"/>
              <w:rPr>
                <w:rFonts w:ascii="MavenProRegular" w:hAnsi="MavenProRegular"/>
                <w:color w:val="444444"/>
                <w:sz w:val="32"/>
                <w:szCs w:val="32"/>
              </w:rPr>
            </w:pPr>
          </w:p>
        </w:tc>
      </w:tr>
    </w:tbl>
    <w:p w:rsidR="009C4BDC" w:rsidRDefault="007B28C6" w:rsidP="009C4BDC">
      <w:pPr>
        <w:pStyle w:val="NormaleWeb"/>
        <w:shd w:val="clear" w:color="auto" w:fill="FFFFFF"/>
        <w:spacing w:before="225" w:beforeAutospacing="0" w:after="225" w:afterAutospacing="0"/>
        <w:rPr>
          <w:rFonts w:ascii="MavenProRegular" w:hAnsi="MavenProRegular"/>
          <w:b/>
          <w:color w:val="444444"/>
          <w:sz w:val="32"/>
          <w:szCs w:val="32"/>
        </w:rPr>
      </w:pPr>
      <w:r>
        <w:rPr>
          <w:rFonts w:ascii="MavenProRegular" w:hAnsi="MavenProRegular"/>
          <w:b/>
          <w:color w:val="444444"/>
          <w:sz w:val="32"/>
          <w:szCs w:val="32"/>
        </w:rPr>
        <w:t xml:space="preserve">Costo </w:t>
      </w:r>
      <w:r w:rsidR="00954EFA">
        <w:rPr>
          <w:rFonts w:ascii="MavenProRegular" w:hAnsi="MavenProRegular"/>
          <w:b/>
          <w:color w:val="444444"/>
          <w:sz w:val="32"/>
          <w:szCs w:val="32"/>
        </w:rPr>
        <w:t>complessivo del modulo liquidato:</w:t>
      </w:r>
      <w:r>
        <w:rPr>
          <w:rFonts w:ascii="MavenProRegular" w:hAnsi="MavenProRegular"/>
          <w:b/>
          <w:color w:val="444444"/>
          <w:sz w:val="32"/>
          <w:szCs w:val="32"/>
        </w:rPr>
        <w:t xml:space="preserve"> 3600 euro.</w:t>
      </w:r>
    </w:p>
    <w:p w:rsidR="00954EFA" w:rsidRDefault="00954EFA" w:rsidP="009C4BDC">
      <w:pPr>
        <w:pStyle w:val="NormaleWeb"/>
        <w:shd w:val="clear" w:color="auto" w:fill="FFFFFF"/>
        <w:spacing w:before="225" w:beforeAutospacing="0" w:after="225" w:afterAutospacing="0"/>
        <w:rPr>
          <w:rFonts w:ascii="MavenProRegular" w:hAnsi="MavenProRegular"/>
          <w:b/>
          <w:color w:val="444444"/>
          <w:sz w:val="32"/>
          <w:szCs w:val="32"/>
        </w:rPr>
      </w:pPr>
    </w:p>
    <w:p w:rsidR="003B4F29" w:rsidRPr="009C4BDC" w:rsidRDefault="00954EFA" w:rsidP="00954EFA">
      <w:pPr>
        <w:pStyle w:val="NormaleWeb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>
        <w:rPr>
          <w:rFonts w:ascii="MavenProRegular" w:hAnsi="MavenProRegular"/>
          <w:b/>
          <w:color w:val="444444"/>
          <w:sz w:val="32"/>
          <w:szCs w:val="32"/>
        </w:rPr>
        <w:t>COSTO COMPLESSIVO DEL PROGETTO INTERCULTURA: 4650 euro</w:t>
      </w:r>
      <w:bookmarkStart w:id="0" w:name="_GoBack"/>
      <w:bookmarkEnd w:id="0"/>
    </w:p>
    <w:sectPr w:rsidR="003B4F29" w:rsidRPr="009C4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B9"/>
    <w:rsid w:val="000008A2"/>
    <w:rsid w:val="00001FED"/>
    <w:rsid w:val="000332FA"/>
    <w:rsid w:val="000502A7"/>
    <w:rsid w:val="000B51B9"/>
    <w:rsid w:val="000B5F9F"/>
    <w:rsid w:val="001D68BA"/>
    <w:rsid w:val="001F7DB7"/>
    <w:rsid w:val="002028AD"/>
    <w:rsid w:val="00227018"/>
    <w:rsid w:val="0025283D"/>
    <w:rsid w:val="002651ED"/>
    <w:rsid w:val="00274F75"/>
    <w:rsid w:val="00286B99"/>
    <w:rsid w:val="00294530"/>
    <w:rsid w:val="002A0B06"/>
    <w:rsid w:val="002A2B90"/>
    <w:rsid w:val="002B74C4"/>
    <w:rsid w:val="002C340B"/>
    <w:rsid w:val="002E28F9"/>
    <w:rsid w:val="00313C0B"/>
    <w:rsid w:val="00327783"/>
    <w:rsid w:val="00351DD4"/>
    <w:rsid w:val="00396311"/>
    <w:rsid w:val="003B3F34"/>
    <w:rsid w:val="003B4F29"/>
    <w:rsid w:val="003D66C4"/>
    <w:rsid w:val="003E24AA"/>
    <w:rsid w:val="003E5BBB"/>
    <w:rsid w:val="003F41BA"/>
    <w:rsid w:val="00421C5D"/>
    <w:rsid w:val="00423EB6"/>
    <w:rsid w:val="00475AED"/>
    <w:rsid w:val="00487AD8"/>
    <w:rsid w:val="00496546"/>
    <w:rsid w:val="004C6613"/>
    <w:rsid w:val="004E1679"/>
    <w:rsid w:val="004E5E0E"/>
    <w:rsid w:val="004F0287"/>
    <w:rsid w:val="004F164E"/>
    <w:rsid w:val="005109CC"/>
    <w:rsid w:val="005200D0"/>
    <w:rsid w:val="00534BFE"/>
    <w:rsid w:val="00540733"/>
    <w:rsid w:val="00584344"/>
    <w:rsid w:val="005860AD"/>
    <w:rsid w:val="005A6E18"/>
    <w:rsid w:val="005C1282"/>
    <w:rsid w:val="00620172"/>
    <w:rsid w:val="006211B3"/>
    <w:rsid w:val="0064131C"/>
    <w:rsid w:val="00643A6B"/>
    <w:rsid w:val="00653BF1"/>
    <w:rsid w:val="00655C86"/>
    <w:rsid w:val="00662361"/>
    <w:rsid w:val="0068126E"/>
    <w:rsid w:val="006A3FB5"/>
    <w:rsid w:val="006B577A"/>
    <w:rsid w:val="006E4F69"/>
    <w:rsid w:val="006F135C"/>
    <w:rsid w:val="006F49A4"/>
    <w:rsid w:val="006F55F0"/>
    <w:rsid w:val="00721074"/>
    <w:rsid w:val="00754340"/>
    <w:rsid w:val="00761DCF"/>
    <w:rsid w:val="007A65DB"/>
    <w:rsid w:val="007B28C6"/>
    <w:rsid w:val="007C1C5C"/>
    <w:rsid w:val="007C505D"/>
    <w:rsid w:val="007D07E3"/>
    <w:rsid w:val="00813614"/>
    <w:rsid w:val="00816B55"/>
    <w:rsid w:val="00817720"/>
    <w:rsid w:val="00830565"/>
    <w:rsid w:val="0083664A"/>
    <w:rsid w:val="00836D75"/>
    <w:rsid w:val="00837B9A"/>
    <w:rsid w:val="0085150D"/>
    <w:rsid w:val="008553AF"/>
    <w:rsid w:val="00867F37"/>
    <w:rsid w:val="008A51CD"/>
    <w:rsid w:val="008B26F3"/>
    <w:rsid w:val="008E4B66"/>
    <w:rsid w:val="008F014A"/>
    <w:rsid w:val="00927F34"/>
    <w:rsid w:val="00934241"/>
    <w:rsid w:val="00954EFA"/>
    <w:rsid w:val="009C4BDC"/>
    <w:rsid w:val="00A3253E"/>
    <w:rsid w:val="00A4382C"/>
    <w:rsid w:val="00A512A8"/>
    <w:rsid w:val="00A75354"/>
    <w:rsid w:val="00AC22AA"/>
    <w:rsid w:val="00AC7391"/>
    <w:rsid w:val="00AF1208"/>
    <w:rsid w:val="00B068FD"/>
    <w:rsid w:val="00B71BFA"/>
    <w:rsid w:val="00B93473"/>
    <w:rsid w:val="00BB2157"/>
    <w:rsid w:val="00BB25ED"/>
    <w:rsid w:val="00C15D0F"/>
    <w:rsid w:val="00C260E8"/>
    <w:rsid w:val="00C45470"/>
    <w:rsid w:val="00C52093"/>
    <w:rsid w:val="00C537B0"/>
    <w:rsid w:val="00C662AD"/>
    <w:rsid w:val="00C91DC9"/>
    <w:rsid w:val="00CC7313"/>
    <w:rsid w:val="00CE6BEB"/>
    <w:rsid w:val="00CF5FF8"/>
    <w:rsid w:val="00D12CA2"/>
    <w:rsid w:val="00D155D7"/>
    <w:rsid w:val="00D453DE"/>
    <w:rsid w:val="00D57F05"/>
    <w:rsid w:val="00D85FD7"/>
    <w:rsid w:val="00D8790D"/>
    <w:rsid w:val="00DB4DE0"/>
    <w:rsid w:val="00DE2AEE"/>
    <w:rsid w:val="00E2463E"/>
    <w:rsid w:val="00E26FDD"/>
    <w:rsid w:val="00E33733"/>
    <w:rsid w:val="00E415D3"/>
    <w:rsid w:val="00E42A16"/>
    <w:rsid w:val="00E930DE"/>
    <w:rsid w:val="00EA4EE4"/>
    <w:rsid w:val="00EE0D51"/>
    <w:rsid w:val="00EF0BFD"/>
    <w:rsid w:val="00EF4AF9"/>
    <w:rsid w:val="00F447BE"/>
    <w:rsid w:val="00F82550"/>
    <w:rsid w:val="00F84C1F"/>
    <w:rsid w:val="00F8651A"/>
    <w:rsid w:val="00FB17B7"/>
    <w:rsid w:val="00FB3D0B"/>
    <w:rsid w:val="00FD27BE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Susy</cp:lastModifiedBy>
  <cp:revision>4</cp:revision>
  <dcterms:created xsi:type="dcterms:W3CDTF">2019-08-29T18:06:00Z</dcterms:created>
  <dcterms:modified xsi:type="dcterms:W3CDTF">2019-08-29T20:37:00Z</dcterms:modified>
</cp:coreProperties>
</file>